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5" w:rsidRDefault="00AE6C85" w:rsidP="00AE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85">
        <w:rPr>
          <w:rFonts w:ascii="Times New Roman" w:hAnsi="Times New Roman" w:cs="Times New Roman"/>
          <w:b/>
          <w:sz w:val="28"/>
          <w:szCs w:val="28"/>
        </w:rPr>
        <w:t>Миф или реальность?</w:t>
      </w:r>
    </w:p>
    <w:p w:rsidR="00AE6C85" w:rsidRPr="00AE6C85" w:rsidRDefault="00AE6C85" w:rsidP="00AE6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ab/>
        <w:t xml:space="preserve">Наверное, многие из нас слышали, восхищенные возгласы от наших братьев </w:t>
      </w: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гончатников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: «А вот раньше были гончие. Всем обладали - экстерьером и голосом, а какие были рабочие качества!». Или высказывания на одном из охотничьих форумов: «…К сожалению, приходится констатировать тот факт, что голосов выдающихся становиться все меньше. И хорошие оценки за силу голоса стали редки, что в прочем нивелируется снижением требовательности в этом вопросе. А вот то, что музыки в голосах стало маловато, то уже никак не </w:t>
      </w:r>
      <w:proofErr w:type="spellStart"/>
      <w:r w:rsidRPr="00AE6C85">
        <w:rPr>
          <w:rFonts w:ascii="Times New Roman" w:hAnsi="Times New Roman" w:cs="Times New Roman"/>
          <w:sz w:val="28"/>
          <w:szCs w:val="28"/>
        </w:rPr>
        <w:t>снивелируешь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>. Голоса стали простоваты. Всему виной, как мне кажется, это общая беда нынешнего дня, когда собак заводят, видят, что по природным данным они весьма посредственные, но все равно всеми правдами и неправдами тащат их в племя, на развод и вот результат</w:t>
      </w:r>
      <w:proofErr w:type="gramStart"/>
      <w:r w:rsidRPr="00AE6C85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ab/>
        <w:t>Почему так говорят? Можно этому верить? Не уже ли сейчас все так плохо, и когда рабочие качества начали терять наши гончие?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Заглянем в не далекое прошлое, что писали раньше.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ab/>
        <w:t xml:space="preserve">В журнале «Охота и охотничье хозяйство» № 11/1970 в статье «О голосах русских гончих» Сергеев М. В. В данной статье автор отмечает, что не во всех охотах русские гончие имели хорошие голоса, а так же отмечал разнотипность в экстерьере и неизвестное происхождение гончих в период 20-х годов. В этой же статье предлагал, что необходимо сделать, чтобы ускорить восстановление хороших голосов в породе русских гончих. 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«Охота и охотничье хозяйство» № 3/1976 небольшая заметка о прошедших состязаниях гончих, которые состоялись осенью 1975 года.  «Состязания гончих под Ленинградом» Б. Сергеев эксперт-кинолог первой категории</w:t>
      </w:r>
      <w:proofErr w:type="gramStart"/>
      <w:r w:rsidRPr="00AE6C85">
        <w:rPr>
          <w:rFonts w:ascii="Times New Roman" w:hAnsi="Times New Roman" w:cs="Times New Roman"/>
          <w:sz w:val="28"/>
          <w:szCs w:val="28"/>
        </w:rPr>
        <w:t>. «..</w:t>
      </w:r>
      <w:proofErr w:type="gramEnd"/>
      <w:r w:rsidRPr="00AE6C85">
        <w:rPr>
          <w:rFonts w:ascii="Times New Roman" w:hAnsi="Times New Roman" w:cs="Times New Roman"/>
          <w:sz w:val="28"/>
          <w:szCs w:val="28"/>
        </w:rPr>
        <w:t xml:space="preserve">Участвовало в состязаниях 46  единиц, в том числе </w:t>
      </w: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выжлецов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– 20, выжловок – 25, смычок – 1.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 xml:space="preserve">Дипломировано 12 единиц: </w:t>
      </w: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выжлецов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 - 4, выжловок- 8, остальные 34 единицы, или 73,4%, ввиду недостаточной подготовки и усложнившихся условий (листопад и очень сухая тропа) дипломов не получили…». Количество дипломированных гончих составило – 26,6%.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 xml:space="preserve">«Охота и охотничье хозяйство» № 2/1980 Ю. Петров эксперт-кинолог всероссийской категории «Русские гончие марийских охотников» </w:t>
      </w:r>
      <w:proofErr w:type="gramStart"/>
      <w:r w:rsidRPr="00AE6C85">
        <w:rPr>
          <w:rFonts w:ascii="Times New Roman" w:hAnsi="Times New Roman" w:cs="Times New Roman"/>
          <w:sz w:val="28"/>
          <w:szCs w:val="28"/>
        </w:rPr>
        <w:t>сделал анализ рабочих качеств гончих собак в Марийской АССР за 20 лет начиная</w:t>
      </w:r>
      <w:proofErr w:type="gramEnd"/>
      <w:r w:rsidRPr="00AE6C85">
        <w:rPr>
          <w:rFonts w:ascii="Times New Roman" w:hAnsi="Times New Roman" w:cs="Times New Roman"/>
          <w:sz w:val="28"/>
          <w:szCs w:val="28"/>
        </w:rPr>
        <w:t xml:space="preserve"> с 1958 года. И получились следующие данные. Из 190 дипломированных русских гончих у 107 собак сила голоса оценена в 7 баллов (57%). 23 собаки получили 8 и 9  баллов (12%). 56 гончих – 6 баллов и 4 – 5 баллов – (31%). </w:t>
      </w:r>
      <w:r w:rsidRPr="00AE6C85">
        <w:rPr>
          <w:rFonts w:ascii="Times New Roman" w:hAnsi="Times New Roman" w:cs="Times New Roman"/>
          <w:sz w:val="28"/>
          <w:szCs w:val="28"/>
        </w:rPr>
        <w:lastRenderedPageBreak/>
        <w:t>Музыкальность голоса: 2 балла получили 89 собак (47%). 3 и 4 балла – 55 собак (29%) 1 балл имели 44 собаки и 0 баллов – 2 собаки.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Из 43 дипломированных РПГ. Сила голоса была оценена в 7 баллов – 14 собак (32,8%), 5 и 6 баллов у 29 (77,2%). 8 и 9 баллов не получила не одна РПГ. Музыкальность у РПГ. 3 собаки имели 3 балла (7%), 41 собака 1 и 2 балла (73%). Верность  отдачи голоса 4 и 5 баллов (63%), остальные 16 собак получили за верность 3 балла (37%).</w:t>
      </w:r>
      <w:r w:rsidRPr="00AE6C85">
        <w:rPr>
          <w:rFonts w:ascii="Times New Roman" w:hAnsi="Times New Roman" w:cs="Times New Roman"/>
          <w:sz w:val="28"/>
          <w:szCs w:val="28"/>
        </w:rPr>
        <w:tab/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«Охота и охотничье хозяйство» № 11/1981 была опубликована статья о межобластных состязаниях гончих, которые прошли с 4 по 12 октября 1980 г. в Татарии. Результаты состязаний были наглядно приведены в двух таблицах. Всего выступило номеров – 48. Русские гончие – 42 номера, Русские пегие гончие – 6. Получили дипломы – 26 гончих, что составило 54,1%.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Средняя оценка качеств гончих собак составила в балах: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Русские гончие: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Полаз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- 5,6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Добычливость – 4,7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Мастерство – 18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Чутье – 7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Вязкость – 14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Голос (сила – 7, музыкальность – 2, верность – 4)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Паратость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– 7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Послушание – 4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Русские пегие гончие: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Полаз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– 6,3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Добычливость – 5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Мастерство – 17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Чутье – 6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Вязкость – 14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Голос (сила – 7, музыкальность – 2, верность – 3)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Паратость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– 6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Послушание – 4</w:t>
      </w:r>
    </w:p>
    <w:p w:rsidR="00AE6C85" w:rsidRPr="00AE6C85" w:rsidRDefault="00AE6C85" w:rsidP="00AE6C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 xml:space="preserve">Теперь вернемся в наше время, рассмотрим пару состязаний гончих, которые прошли не так давно. Рассчитаем среднюю оценку качества как голос.  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 xml:space="preserve">Кировские областные открытые личные состязания гончих по зайцу-беляку «2-е Весенние голоса </w:t>
      </w:r>
      <w:proofErr w:type="spellStart"/>
      <w:r w:rsidRPr="00AE6C85">
        <w:rPr>
          <w:rFonts w:ascii="Times New Roman" w:hAnsi="Times New Roman" w:cs="Times New Roman"/>
          <w:sz w:val="28"/>
          <w:szCs w:val="28"/>
        </w:rPr>
        <w:t>выжлецов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на Вятке 2014» Получено 32 диплома по зайцу-беляку - (45,1%) 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>Средняя оценка качеств гончих собак составила в балах: голос (сила – 7; музыкальность – 2,2; верность – 4,1)</w:t>
      </w:r>
    </w:p>
    <w:p w:rsidR="00AE6C85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lastRenderedPageBreak/>
        <w:t xml:space="preserve">Нижегородские областные открытые лично - командные состязания гончих по зайцу-беляку памяти Р. И. </w:t>
      </w:r>
      <w:proofErr w:type="spellStart"/>
      <w:r w:rsidRPr="00AE6C85">
        <w:rPr>
          <w:rFonts w:ascii="Times New Roman" w:hAnsi="Times New Roman" w:cs="Times New Roman"/>
          <w:sz w:val="28"/>
          <w:szCs w:val="28"/>
        </w:rPr>
        <w:t>Шияна</w:t>
      </w:r>
      <w:proofErr w:type="spellEnd"/>
      <w:r w:rsidRPr="00AE6C85">
        <w:rPr>
          <w:rFonts w:ascii="Times New Roman" w:hAnsi="Times New Roman" w:cs="Times New Roman"/>
          <w:sz w:val="28"/>
          <w:szCs w:val="28"/>
        </w:rPr>
        <w:t xml:space="preserve"> (осень 2014). Всего приняло участие 29 единиц получено дипломов – 11 (37,9%). Средняя оценка качеств гончих собак составила в балах: голос (сила – 6,9; музыкальность – 2,1; верность – 4,1).</w:t>
      </w:r>
    </w:p>
    <w:p w:rsidR="00900BBA" w:rsidRPr="00AE6C85" w:rsidRDefault="00AE6C85" w:rsidP="00AE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C85">
        <w:rPr>
          <w:rFonts w:ascii="Times New Roman" w:hAnsi="Times New Roman" w:cs="Times New Roman"/>
          <w:sz w:val="28"/>
          <w:szCs w:val="28"/>
        </w:rPr>
        <w:t xml:space="preserve">Сравнивая полученные данные видно, что практически средняя оценка качеств как голос у гончих не изменилась. А средняя оценка других качеств не будет отличаться от тех, какие были 35 лет назад. Так, что раньше было </w:t>
      </w:r>
      <w:proofErr w:type="gramStart"/>
      <w:r w:rsidRPr="00AE6C8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E6C85">
        <w:rPr>
          <w:rFonts w:ascii="Times New Roman" w:hAnsi="Times New Roman" w:cs="Times New Roman"/>
          <w:sz w:val="28"/>
          <w:szCs w:val="28"/>
        </w:rPr>
        <w:t>ак сегодня.</w:t>
      </w:r>
    </w:p>
    <w:sectPr w:rsidR="00900BBA" w:rsidRPr="00AE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DE"/>
    <w:rsid w:val="004316DE"/>
    <w:rsid w:val="00900BBA"/>
    <w:rsid w:val="00A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4elovek</dc:creator>
  <cp:keywords/>
  <dc:description/>
  <cp:lastModifiedBy>4elovek</cp:lastModifiedBy>
  <cp:revision>2</cp:revision>
  <dcterms:created xsi:type="dcterms:W3CDTF">2015-06-06T19:02:00Z</dcterms:created>
  <dcterms:modified xsi:type="dcterms:W3CDTF">2015-06-06T19:04:00Z</dcterms:modified>
</cp:coreProperties>
</file>